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48" w:hanging="4248"/>
        <w:rPr/>
      </w:pPr>
      <w:r>
        <w:rPr/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ind w:left="4956" w:hanging="0"/>
        <w:jc w:val="right"/>
        <w:rPr/>
      </w:pPr>
      <w:r>
        <w:rPr>
          <w:b/>
        </w:rPr>
        <w:t xml:space="preserve">Załącznik nr 2 </w:t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ind w:left="4248" w:hanging="4248"/>
        <w:rPr/>
      </w:pPr>
      <w:r>
        <w:rPr/>
        <w:t xml:space="preserve">       </w:t>
      </w:r>
      <w:r>
        <w:rPr/>
        <w:t xml:space="preserve">/Nazwa i adres wykonawcy/ </w:t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ind w:left="4248" w:hanging="4248"/>
        <w:rPr/>
      </w:pPr>
      <w:r>
        <w:rPr/>
        <w:t>…………………………………</w:t>
      </w:r>
      <w:r>
        <w:rPr/>
        <w:t>.</w:t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ind w:left="4248" w:hanging="4248"/>
        <w:rPr/>
      </w:pPr>
      <w:r>
        <w:rPr/>
        <w:t>…………………………………</w:t>
      </w:r>
      <w:r>
        <w:rPr/>
        <w:t>.</w:t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ind w:left="4248" w:hanging="4248"/>
        <w:rPr/>
      </w:pPr>
      <w:r>
        <w:rPr/>
        <w:t>…………………………………</w:t>
      </w:r>
      <w:r>
        <w:rPr/>
        <w:t>.</w:t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ind w:left="4248" w:hanging="424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248" w:hanging="4248"/>
        <w:rPr>
          <w:b/>
          <w:b/>
        </w:rPr>
      </w:pPr>
      <w:r>
        <w:rPr/>
        <w:t>(pieczęć Wykonawcy)</w:t>
        <w:tab/>
        <w:tab/>
      </w:r>
    </w:p>
    <w:p>
      <w:pPr>
        <w:pStyle w:val="Normal"/>
        <w:ind w:left="4248" w:hanging="4248"/>
        <w:jc w:val="right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spacing w:before="360" w:after="0"/>
        <w:jc w:val="center"/>
        <w:rPr/>
      </w:pPr>
      <w:r>
        <w:rPr>
          <w:b/>
          <w:bCs/>
          <w:spacing w:val="-1"/>
          <w:sz w:val="24"/>
          <w:szCs w:val="24"/>
        </w:rPr>
        <w:t>FORMULARZ CENOWY</w:t>
      </w:r>
    </w:p>
    <w:p>
      <w:pPr>
        <w:pStyle w:val="Normal"/>
        <w:shd w:val="clear" w:color="auto" w:fill="FFFFFF"/>
        <w:ind w:right="1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rPr/>
      </w:pPr>
      <w:r>
        <w:rPr>
          <w:position w:val="8"/>
          <w:sz w:val="22"/>
          <w:szCs w:val="22"/>
        </w:rPr>
        <w:t xml:space="preserve">Oferujemy realizację przedmiotu zamówienia za </w:t>
      </w:r>
      <w:r>
        <w:rPr>
          <w:position w:val="8"/>
          <w:sz w:val="22"/>
          <w:szCs w:val="22"/>
        </w:rPr>
        <w:t>ce</w:t>
      </w:r>
      <w:r>
        <w:rPr>
          <w:position w:val="8"/>
          <w:sz w:val="22"/>
          <w:szCs w:val="22"/>
        </w:rPr>
        <w:t xml:space="preserve">nę </w:t>
      </w:r>
    </w:p>
    <w:p>
      <w:pPr>
        <w:pStyle w:val="Tretekstu"/>
        <w:rPr/>
      </w:pPr>
      <w:r>
        <w:rPr>
          <w:b/>
          <w:position w:val="8"/>
          <w:sz w:val="22"/>
          <w:szCs w:val="22"/>
        </w:rPr>
        <w:t xml:space="preserve">netto ......................... zł </w:t>
      </w:r>
    </w:p>
    <w:p>
      <w:pPr>
        <w:pStyle w:val="Tretekstu"/>
        <w:rPr/>
      </w:pPr>
      <w:r>
        <w:rPr>
          <w:b/>
          <w:position w:val="8"/>
          <w:sz w:val="22"/>
          <w:szCs w:val="22"/>
        </w:rPr>
        <w:t xml:space="preserve">podatek VAT ……… % tj. ..............……... </w:t>
      </w:r>
      <w:r>
        <w:rPr>
          <w:b/>
          <w:position w:val="8"/>
          <w:sz w:val="22"/>
          <w:szCs w:val="22"/>
        </w:rPr>
        <w:t>zł</w:t>
      </w:r>
    </w:p>
    <w:p>
      <w:pPr>
        <w:pStyle w:val="Tretekstu"/>
        <w:rPr/>
      </w:pPr>
      <w:r>
        <w:rPr>
          <w:b/>
          <w:position w:val="8"/>
          <w:sz w:val="22"/>
          <w:szCs w:val="22"/>
        </w:rPr>
        <w:t xml:space="preserve">brutto……....………… zł </w:t>
      </w:r>
    </w:p>
    <w:p>
      <w:pPr>
        <w:pStyle w:val="Normal"/>
        <w:rPr>
          <w:sz w:val="22"/>
          <w:szCs w:val="22"/>
        </w:rPr>
      </w:pPr>
      <w:r>
        <w:rPr>
          <w:b/>
          <w:position w:val="8"/>
          <w:sz w:val="22"/>
          <w:szCs w:val="22"/>
        </w:rPr>
        <w:t xml:space="preserve">(słownie:..............................................…..............……...……..……..…..……...…..………………..) </w:t>
      </w:r>
      <w:r>
        <w:rPr>
          <w:position w:val="8"/>
          <w:sz w:val="22"/>
          <w:szCs w:val="22"/>
        </w:rPr>
        <w:t>zgodnie z Załącznikiem nr 1 do Zapytania Ofertowego – „</w:t>
      </w:r>
      <w:r>
        <w:rPr>
          <w:rFonts w:eastAsia="Calibri"/>
          <w:b/>
          <w:kern w:val="2"/>
          <w:sz w:val="22"/>
          <w:szCs w:val="22"/>
          <w:lang w:eastAsia="en-US"/>
        </w:rPr>
        <w:t xml:space="preserve">Wyposażenie sal lekcyjnych w sprzęt i pomoce dydaktyczne </w:t>
      </w:r>
      <w:r>
        <w:rPr>
          <w:position w:val="8"/>
          <w:sz w:val="22"/>
          <w:szCs w:val="22"/>
        </w:rPr>
        <w:t>”  dla I Liceum Ogólnokształcącego we Włoszczowie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180" w:type="dxa"/>
        <w:jc w:val="left"/>
        <w:tblInd w:w="70" w:type="dxa"/>
        <w:tblBorders>
          <w:top w:val="single" w:sz="4" w:space="0" w:color="00000A"/>
          <w:left w:val="double" w:sz="4" w:space="0" w:color="00000A"/>
          <w:bottom w:val="double" w:sz="4" w:space="0" w:color="00000A"/>
          <w:right w:val="single" w:sz="8" w:space="0" w:color="00000A"/>
          <w:insideH w:val="double" w:sz="4" w:space="0" w:color="00000A"/>
          <w:insideV w:val="single" w:sz="8" w:space="0" w:color="00000A"/>
        </w:tblBorders>
        <w:tblCellMar>
          <w:top w:w="0" w:type="dxa"/>
          <w:left w:w="-15" w:type="dxa"/>
          <w:bottom w:w="0" w:type="dxa"/>
          <w:right w:w="70" w:type="dxa"/>
        </w:tblCellMar>
        <w:tblLook w:val="0000"/>
      </w:tblPr>
      <w:tblGrid>
        <w:gridCol w:w="425"/>
        <w:gridCol w:w="2995"/>
        <w:gridCol w:w="720"/>
        <w:gridCol w:w="718"/>
        <w:gridCol w:w="1442"/>
        <w:gridCol w:w="1439"/>
        <w:gridCol w:w="1"/>
        <w:gridCol w:w="1439"/>
      </w:tblGrid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8" w:space="0" w:color="00000A"/>
              <w:insideH w:val="doub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  <w:insideH w:val="doub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agwek1"/>
              <w:spacing w:before="60" w:after="60"/>
              <w:rPr>
                <w:sz w:val="20"/>
              </w:rPr>
            </w:pPr>
            <w:r>
              <w:rPr>
                <w:sz w:val="20"/>
              </w:rPr>
              <w:t>Nazwa produktu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  <w:insideH w:val="doub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Jedn.</w:t>
            </w:r>
          </w:p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miary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8" w:space="0" w:color="00000A"/>
              <w:bottom w:val="double" w:sz="4" w:space="0" w:color="00000A"/>
              <w:right w:val="single" w:sz="8" w:space="0" w:color="00000A"/>
              <w:insideH w:val="doub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agwek1"/>
              <w:spacing w:before="60" w:after="60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6" w:space="0" w:color="00000A"/>
              <w:insideH w:val="doub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Cena jednostkowa</w:t>
              <w:br/>
              <w:t>netto</w:t>
            </w:r>
          </w:p>
        </w:tc>
        <w:tc>
          <w:tcPr>
            <w:tcW w:w="1440" w:type="dxa"/>
            <w:gridSpan w:val="2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Cena jednostkowa</w:t>
              <w:br/>
              <w:t>brutto</w:t>
            </w:r>
          </w:p>
        </w:tc>
        <w:tc>
          <w:tcPr>
            <w:tcW w:w="1439" w:type="dxa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</w:rPr>
              <w:t xml:space="preserve">Wartość brutto </w:t>
            </w:r>
          </w:p>
        </w:tc>
      </w:tr>
      <w:tr>
        <w:trPr>
          <w:trHeight w:val="1062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agwek5"/>
              <w:jc w:val="left"/>
              <w:rPr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Tablica szkolna tryptyk zielona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518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2.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agwek5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>Projektor multimedialny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554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3.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Uchwyt sufitowy do projektora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4.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Ekran projekcyjny manualny ścienny 150x150 cm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530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5.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Szafa wysoka z witryną - klon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552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6.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Szafa wysoka czterodrzwiowa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560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7.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Biurko z szafką i szufladą klon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8.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Krzesło konferencyjne szare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9.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Stół szkolny 70x50 rozm. 5, 1os., stelaż aluminium, blat buk, obrzeże ABS, narożniki proste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618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10.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Stół szkolny 1 -os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11.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Stół szkolny 1 -os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12.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Krzesło szkolne r. 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13.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Krzesło szkolne r. 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14.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Krzesło szkolne r. 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bookmarkStart w:id="0" w:name="_GoBack"/>
            <w:bookmarkEnd w:id="0"/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15.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Stojak na 18 map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16.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Krzesło obrotowe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17.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Zestaw głośników komputerowych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Szt.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  <w:tr>
        <w:trPr>
          <w:trHeight w:val="737" w:hRule="atLeast"/>
          <w:cantSplit w:val="true"/>
        </w:trPr>
        <w:tc>
          <w:tcPr>
            <w:tcW w:w="42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3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RAZEM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zł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Akceptujemy czas realizacji płatności zgodnie z umową.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 xml:space="preserve">Oferujemy dostawę przedmiotu zamówienia w terminie </w:t>
      </w:r>
      <w:r>
        <w:rPr>
          <w:b/>
          <w:sz w:val="22"/>
          <w:szCs w:val="22"/>
        </w:rPr>
        <w:t xml:space="preserve">nie przekraczalnym do 26.08. 2019r. 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zapytaniem ofertowym i Specyfikacją wymagań techniczno - funkcjonalnych i nie wnosimy do nich zastrzeżeń oraz że zdobyliśmy konieczne informacje, potrzebne do właściwego przygotowania oferty.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 xml:space="preserve">Oświadczamy, że oferowany przez nas sprzęt spełnia minimalne wymagania techniczno – funkcjonalne określone przez Zamawiającego w Specyfikacji wymagań techniczno -funkcjonalnych. 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załączony do zapytania ofertowego projekt umowy został przez nas zaakceptowany i zobowiązujemy się do zawarcia umowy na zawartych w nim warunkach, </w:t>
        <w:br/>
        <w:t>w miejscu i terminie wyznaczonym przez Zamawiającego.</w:t>
      </w:r>
    </w:p>
    <w:p>
      <w:pPr>
        <w:pStyle w:val="BodyText2"/>
        <w:spacing w:lineRule="auto" w:line="360"/>
        <w:rPr/>
      </w:pPr>
      <w:r>
        <w:rPr/>
      </w:r>
    </w:p>
    <w:p>
      <w:pPr>
        <w:pStyle w:val="BodyText2"/>
        <w:spacing w:lineRule="auto" w:line="360"/>
        <w:rPr/>
      </w:pPr>
      <w:r>
        <w:rPr/>
      </w:r>
    </w:p>
    <w:p>
      <w:pPr>
        <w:pStyle w:val="BodyText2"/>
        <w:spacing w:lineRule="auto" w:line="360"/>
        <w:rPr>
          <w:b/>
          <w:b/>
        </w:rPr>
      </w:pPr>
      <w:r>
        <w:rPr/>
        <w:t>Wykonawca:</w:t>
        <w:tab/>
        <w:tab/>
      </w:r>
      <w:r>
        <w:rPr>
          <w:b/>
        </w:rPr>
        <w:t>........................................................................................</w:t>
      </w:r>
    </w:p>
    <w:p>
      <w:pPr>
        <w:pStyle w:val="Normal"/>
        <w:spacing w:lineRule="auto" w:line="360"/>
        <w:jc w:val="center"/>
        <w:rPr/>
      </w:pPr>
      <w:r>
        <w:rPr/>
        <w:t>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bCs/>
          <w:sz w:val="24"/>
          <w:szCs w:val="24"/>
        </w:rPr>
        <w:t>Podpisano:</w:t>
      </w:r>
      <w:r>
        <w:rPr/>
        <w:tab/>
        <w:t xml:space="preserve">                  ........................................................................................</w:t>
      </w:r>
    </w:p>
    <w:p>
      <w:pPr>
        <w:pStyle w:val="BodyText2"/>
        <w:spacing w:lineRule="auto" w:line="360" w:before="0" w:after="120"/>
        <w:jc w:val="center"/>
        <w:rPr/>
      </w:pPr>
      <w:r>
        <w:rPr>
          <w:sz w:val="22"/>
          <w:szCs w:val="22"/>
        </w:rPr>
        <w:t>(upoważniony przedstawiciel Wykonawcy)</w:t>
      </w:r>
    </w:p>
    <w:sectPr>
      <w:footerReference w:type="default" r:id="rId2"/>
      <w:type w:val="nextPage"/>
      <w:pgSz w:w="11906" w:h="16838"/>
      <w:pgMar w:left="1417" w:right="1417" w:header="0" w:top="709" w:footer="540" w:bottom="105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t>Znak 04/2019/PCO</w:t>
      <w:tab/>
      <w:tab/>
      <w:tab/>
      <w:tab/>
      <w:tab/>
      <w:tab/>
      <w:tab/>
      <w:tab/>
      <w:tab/>
      <w:tab/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b4c24"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rsid w:val="00aa7f91"/>
    <w:pPr>
      <w:keepNext/>
      <w:jc w:val="center"/>
      <w:outlineLvl w:val="0"/>
    </w:pPr>
    <w:rPr>
      <w:b/>
      <w:sz w:val="22"/>
    </w:rPr>
  </w:style>
  <w:style w:type="paragraph" w:styleId="Nagwek5">
    <w:name w:val="Heading 5"/>
    <w:basedOn w:val="Normal"/>
    <w:qFormat/>
    <w:rsid w:val="00aa7f91"/>
    <w:pPr>
      <w:keepNext/>
      <w:jc w:val="center"/>
      <w:outlineLvl w:val="4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sz w:val="22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  <w:sz w:val="22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sz w:val="22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  <w:sz w:val="22"/>
    </w:rPr>
  </w:style>
  <w:style w:type="character" w:styleId="ListLabel8">
    <w:name w:val="ListLabel 8"/>
    <w:qFormat/>
    <w:rPr>
      <w:b/>
    </w:rPr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Znakinumeracji">
    <w:name w:val="Znaki numeracji"/>
    <w:qFormat/>
    <w:rPr/>
  </w:style>
  <w:style w:type="character" w:styleId="Domylnaczcionkaakapitu1">
    <w:name w:val="Domyślna czcionka akapitu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Domylnaczcionkaakapitu">
    <w:name w:val="Domyślna czcionka akapitu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5z3">
    <w:name w:val="WW8Num5z3"/>
    <w:qFormat/>
    <w:rPr>
      <w:rFonts w:ascii="Symbol" w:hAnsi="Symbol" w:cs="StarSymbol;Arial Unicode MS"/>
      <w:sz w:val="18"/>
      <w:szCs w:val="18"/>
    </w:rPr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b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>
      <w:rFonts w:ascii="Liberation Serif;Times New Roman" w:hAnsi="Liberation Serif;Times New Roman" w:cs="Liberation Serif;Times New Roman"/>
    </w:rPr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3">
    <w:name w:val="WW8Num4z3"/>
    <w:qFormat/>
    <w:rPr>
      <w:rFonts w:ascii="Symbol" w:hAnsi="Symbol" w:cs="StarSymbol;Arial Unicode MS"/>
      <w:sz w:val="18"/>
      <w:szCs w:val="18"/>
    </w:rPr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b/>
    </w:rPr>
  </w:style>
  <w:style w:type="character" w:styleId="WW8Num2z0">
    <w:name w:val="WW8Num2z0"/>
    <w:qFormat/>
    <w:rPr/>
  </w:style>
  <w:style w:type="character" w:styleId="WW8Num1z0">
    <w:name w:val="WW8Num1z0"/>
    <w:qFormat/>
    <w:rPr>
      <w:b/>
    </w:rPr>
  </w:style>
  <w:style w:type="character" w:styleId="ListLabel9">
    <w:name w:val="ListLabel 9"/>
    <w:qFormat/>
    <w:rPr>
      <w:b/>
      <w:sz w:val="22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  <w:sz w:val="22"/>
    </w:rPr>
  </w:style>
  <w:style w:type="character" w:styleId="ListLabel12">
    <w:name w:val="ListLabel 12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9b4c24"/>
    <w:pPr>
      <w:jc w:val="both"/>
    </w:pPr>
    <w:rPr>
      <w:sz w:val="2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sid w:val="009b4c24"/>
    <w:pPr>
      <w:widowControl w:val="false"/>
      <w:suppressAutoHyphens w:val="true"/>
      <w:spacing w:lineRule="auto" w:line="480" w:before="0" w:after="120"/>
    </w:pPr>
    <w:rPr>
      <w:rFonts w:eastAsia="Lucida Sans Unicode"/>
      <w:kern w:val="2"/>
      <w:sz w:val="24"/>
      <w:szCs w:val="24"/>
    </w:rPr>
  </w:style>
  <w:style w:type="paragraph" w:styleId="BalloonText">
    <w:name w:val="Balloon Text"/>
    <w:basedOn w:val="Normal"/>
    <w:semiHidden/>
    <w:qFormat/>
    <w:rsid w:val="00ec01b0"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Stopka">
    <w:name w:val="Footer"/>
    <w:basedOn w:val="Normal"/>
    <w:pPr/>
    <w:rPr/>
  </w:style>
  <w:style w:type="paragraph" w:styleId="Gwka">
    <w:name w:val="Head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LibreOffice/5.4.0.3$Windows_x86 LibreOffice_project/7556cbc6811c9d992f4064ab9287069087d7f62c</Application>
  <Pages>2</Pages>
  <Words>363</Words>
  <Characters>2251</Characters>
  <CharactersWithSpaces>2510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2019-07-03T09:24:00Z</dcterms:created>
  <dc:creator>Łubiński, Marek, (mBank/DHD)</dc:creator>
  <dc:description/>
  <dc:language>pl-PL</dc:language>
  <cp:lastModifiedBy/>
  <cp:lastPrinted>2012-05-08T11:25:00Z</cp:lastPrinted>
  <dcterms:modified xsi:type="dcterms:W3CDTF">2019-07-05T10:14:38Z</dcterms:modified>
  <cp:revision>15</cp:revision>
  <dc:subject/>
  <dc:title>OFERTA  CENOWA (wzór)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